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0000" w14:textId="67426C18" w:rsidR="003E06BB" w:rsidRDefault="009B5CEA">
      <w:pPr>
        <w:spacing w:line="240" w:lineRule="auto"/>
        <w:ind w:left="-709"/>
        <w:contextualSpacing/>
        <w:jc w:val="center"/>
        <w:rPr>
          <w:rFonts w:ascii="Times New Roman" w:hAnsi="Times New Roman"/>
          <w:b/>
          <w:sz w:val="30"/>
          <w:szCs w:val="30"/>
        </w:rPr>
      </w:pPr>
      <w:bookmarkStart w:id="0" w:name="_Hlk215570755"/>
      <w:r>
        <w:rPr>
          <w:rFonts w:ascii="Times New Roman" w:hAnsi="Times New Roman"/>
          <w:b/>
          <w:sz w:val="30"/>
          <w:szCs w:val="30"/>
        </w:rPr>
        <w:t xml:space="preserve">Мы за страну без коррупции </w:t>
      </w:r>
    </w:p>
    <w:p w14:paraId="535A98F2" w14:textId="77777777" w:rsidR="009B5CEA" w:rsidRPr="009B5CEA" w:rsidRDefault="009B5CEA">
      <w:pPr>
        <w:spacing w:line="240" w:lineRule="auto"/>
        <w:ind w:left="-709"/>
        <w:contextualSpacing/>
        <w:jc w:val="center"/>
        <w:rPr>
          <w:rFonts w:ascii="Times New Roman" w:hAnsi="Times New Roman"/>
          <w:b/>
          <w:sz w:val="30"/>
          <w:szCs w:val="30"/>
        </w:rPr>
      </w:pPr>
    </w:p>
    <w:p w14:paraId="02000000" w14:textId="00D4B170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Коррупция</w:t>
      </w:r>
      <w:r w:rsidR="009B5CEA">
        <w:rPr>
          <w:rFonts w:ascii="Times New Roman" w:hAnsi="Times New Roman"/>
          <w:sz w:val="30"/>
          <w:szCs w:val="30"/>
        </w:rPr>
        <w:t xml:space="preserve"> - </w:t>
      </w:r>
      <w:r w:rsidRPr="009B5CEA">
        <w:rPr>
          <w:rFonts w:ascii="Times New Roman" w:hAnsi="Times New Roman"/>
          <w:sz w:val="30"/>
          <w:szCs w:val="30"/>
        </w:rPr>
        <w:t xml:space="preserve">важная социально-политическая проблема, препятствующая экономическому развитию. Правонарушения, совершаемые государственными должностными лицами, особенно связанные с коррупцией, наносят ущерб авторитету государственных институтов и нарушают их функционирование, независимо от формы собственности. Она также подрывает доверие общества к государственным органам, которые должны служить обществу. </w:t>
      </w:r>
    </w:p>
    <w:p w14:paraId="03000000" w14:textId="511F3EDB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Республика Беларусь проводит активную политику борьбы с коррупцией, создав обширную правовую базу, основанную как на отечественном, так и на международном опыте, а также на международных соглашениях. Важнейшие международные документы</w:t>
      </w:r>
      <w:r w:rsidR="009B5CEA">
        <w:rPr>
          <w:rFonts w:ascii="Times New Roman" w:hAnsi="Times New Roman"/>
          <w:sz w:val="30"/>
          <w:szCs w:val="30"/>
        </w:rPr>
        <w:t xml:space="preserve"> - </w:t>
      </w:r>
      <w:r w:rsidRPr="009B5CEA">
        <w:rPr>
          <w:rFonts w:ascii="Times New Roman" w:hAnsi="Times New Roman"/>
          <w:sz w:val="30"/>
          <w:szCs w:val="30"/>
        </w:rPr>
        <w:t>Конвенция Совета Европы и Конвенция ООН против коррупции.</w:t>
      </w:r>
    </w:p>
    <w:p w14:paraId="04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Однако по мере развития социальных и экономических отношений новые формы взаимодействия приводят к возникновению коррупционных рисков. Поэтому государство должно постоянно совершенствовать свое антикоррупционное законодательство для эффективного решения этих возникающих проблем.</w:t>
      </w:r>
    </w:p>
    <w:p w14:paraId="05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Согласно ст. 1 Закона Республики Беларусь «О борьбе с коррупцией», коррупция определяется как умышленное злоупотребление служебным положением государственными должностными лицами, их эквивалентами или иностранными должностными лицами с целью незаконного получения имущества, услуг, покровительства или обещаний выгод для себя или третьих лиц. Это также включает в себя подкуп таких должностных лиц путем предложения аналогичных льгот с целью повлиять на их действия или бездействие при исполнении служебных обязанностей, включая действия, совершаемые от имени или в интересах юридических лиц, как отечественных, так и иностранных.</w:t>
      </w:r>
    </w:p>
    <w:p w14:paraId="06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Главным элементом антикоррупционной системы является установление высоких стандартов ответственности за правонарушения, связанные с коррупцией. Хорошо развитая система наказаний, включающая дисциплинарные, административные и уголовные меры, обеспечивает соразмерность наказаний тяжести совершенных нарушений.</w:t>
      </w:r>
    </w:p>
    <w:p w14:paraId="07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Усилия по борьбе с коррупцией в Беларуси часто сосредоточены на преследовании уже совершивших правонарушения, что ограничивает возможности устранения или смягчения причин коррупции, особенно в экономике и государственном управлении. Для эффективного снижения рисков необходимы более активные меры по предотвращению, прозрачности и системным реформам.</w:t>
      </w:r>
    </w:p>
    <w:p w14:paraId="08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 xml:space="preserve">Серьезной проблемой является низкий уровень правовой осведомленности и понимания среди населения, что способствует росту </w:t>
      </w:r>
      <w:r w:rsidRPr="009B5CEA">
        <w:rPr>
          <w:rFonts w:ascii="Times New Roman" w:hAnsi="Times New Roman"/>
          <w:sz w:val="30"/>
          <w:szCs w:val="30"/>
        </w:rPr>
        <w:lastRenderedPageBreak/>
        <w:t>коррупционных практик и усложняет работу правоохранительных органов. Это ведет к увеличению числа преступлений в различных слоях общества.</w:t>
      </w:r>
    </w:p>
    <w:p w14:paraId="09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 xml:space="preserve">  Борьба с коррупцией в Республике Беларусь является важнейшим направлением государственной политики, направленным на укрепление правового государства, повышение уровня доверия граждан к органам власти и обеспечение экономического развития страны. Реализуемые меры, такие как совершенствование законодательства, создание антикоррупционных институтов и повышение прозрачности государственных процедур, способствуют снижению уровня коррупционных проявлений. Однако для достижения устойчивых результатов необходимо продолжать системную работу по формированию антикоррупционной культуры, повышению ответственности должностных лиц и активному участию гражданского общества. </w:t>
      </w:r>
    </w:p>
    <w:p w14:paraId="0A000000" w14:textId="1B051553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 xml:space="preserve">Правовые основы борьбы с коррупционными преступлениями, а также ответственность за их совершение в Республике Беларусь определяются нормами Уголовного кодекса Республики Беларусь (далее - УК), предусматривающими ответственность за деяния, связанные с злоупотреблением служебными полномочиями, получением и дачей взятки, а также посредничеством во взяточничестве. </w:t>
      </w:r>
    </w:p>
    <w:p w14:paraId="0B000000" w14:textId="24A31B24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В соответствии со ст. 210 У</w:t>
      </w:r>
      <w:r w:rsidR="009B5CEA">
        <w:rPr>
          <w:rFonts w:ascii="Times New Roman" w:hAnsi="Times New Roman"/>
          <w:sz w:val="30"/>
          <w:szCs w:val="30"/>
        </w:rPr>
        <w:t>головного кодекса</w:t>
      </w:r>
      <w:r w:rsidRPr="009B5CEA">
        <w:rPr>
          <w:rFonts w:ascii="Times New Roman" w:hAnsi="Times New Roman"/>
          <w:sz w:val="30"/>
          <w:szCs w:val="30"/>
        </w:rPr>
        <w:t xml:space="preserve"> </w:t>
      </w:r>
      <w:r w:rsidR="009B5CEA">
        <w:rPr>
          <w:rFonts w:ascii="Times New Roman" w:hAnsi="Times New Roman"/>
          <w:sz w:val="30"/>
          <w:szCs w:val="30"/>
        </w:rPr>
        <w:t>Республики Беларусь</w:t>
      </w:r>
      <w:r w:rsidRPr="009B5CEA">
        <w:rPr>
          <w:rFonts w:ascii="Times New Roman" w:hAnsi="Times New Roman"/>
          <w:sz w:val="30"/>
          <w:szCs w:val="30"/>
        </w:rPr>
        <w:t>, хищение имущества или приобретение права на имущество должностным лицом с использованием служебных полномочий карается лишением свободы на срок до 12 лет, с конфискацией имущества или без таковой, в зависимости от характера и размера преступных деяний, а также степени их общественной опасности. При этом ответственность возрастает в случае совершения преступления в крупном или особо крупном размере, группой лиц или организованной группой.</w:t>
      </w:r>
    </w:p>
    <w:p w14:paraId="0C000000" w14:textId="58D4E30C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Ст</w:t>
      </w:r>
      <w:r w:rsidR="009B5CEA">
        <w:rPr>
          <w:rFonts w:ascii="Times New Roman" w:hAnsi="Times New Roman"/>
          <w:sz w:val="30"/>
          <w:szCs w:val="30"/>
        </w:rPr>
        <w:t>атья</w:t>
      </w:r>
      <w:r w:rsidRPr="009B5CEA">
        <w:rPr>
          <w:rFonts w:ascii="Times New Roman" w:hAnsi="Times New Roman"/>
          <w:sz w:val="30"/>
          <w:szCs w:val="30"/>
        </w:rPr>
        <w:t xml:space="preserve"> 424 УК предусматривает ответственность за злоупотребление властью или служебными полномочиями, выражающуюся в превышении полномочий, повлекшем причинение крупного ущерба или существенного вреда правам и интересам граждан, юридических лиц или государства. За такие деяния предусмотрены штрафы, ограничение свободы или лишение свободы до десяти лет, с конфискацией имущества или без таковой, в зависимости от обстоятельств дела.</w:t>
      </w:r>
    </w:p>
    <w:p w14:paraId="0D000000" w14:textId="77777777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 xml:space="preserve">Следует ответить, что в соответствии со ст. 430 УК, ответственность за получение взятки заключается в принятии должностным лицом материальных ценностей или иных выгод имущественного характера за содействие выполнению или невыполнению служебных обязанностей. За данные преступления установлены санкции в виде штрафов, </w:t>
      </w:r>
      <w:r w:rsidRPr="009B5CEA">
        <w:rPr>
          <w:rFonts w:ascii="Times New Roman" w:hAnsi="Times New Roman"/>
          <w:sz w:val="30"/>
          <w:szCs w:val="30"/>
        </w:rPr>
        <w:lastRenderedPageBreak/>
        <w:t>исправительных работ или лишения свободы на срок до 15 лет, особенно при крупном размере взятки или повторном совершении преступления.</w:t>
      </w:r>
    </w:p>
    <w:p w14:paraId="0E000000" w14:textId="329FA5FD" w:rsidR="003E06BB" w:rsidRPr="009B5CEA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Ст</w:t>
      </w:r>
      <w:r w:rsidR="009B5CEA">
        <w:rPr>
          <w:rFonts w:ascii="Times New Roman" w:hAnsi="Times New Roman"/>
          <w:sz w:val="30"/>
          <w:szCs w:val="30"/>
        </w:rPr>
        <w:t>атьями</w:t>
      </w:r>
      <w:r w:rsidRPr="009B5CEA">
        <w:rPr>
          <w:rFonts w:ascii="Times New Roman" w:hAnsi="Times New Roman"/>
          <w:sz w:val="30"/>
          <w:szCs w:val="30"/>
        </w:rPr>
        <w:t xml:space="preserve"> 431, 432 и 433 УК регулируют ответственность за дачу взятки, посредничество во взяточничестве и незаконное получение вознаграждения. За данные преступления, особенно в особо крупном размере или с использованием служебных полномочий, предусмотрены штрафные санкции, арест или лишение свободы до 10 лет. В случае рецидива или совершения в особо крупном размере, меры ответственности увеличиваются.</w:t>
      </w:r>
    </w:p>
    <w:p w14:paraId="0F000000" w14:textId="7EA82E73" w:rsidR="003E06BB" w:rsidRDefault="0001654D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  <w:r w:rsidRPr="009B5CEA">
        <w:rPr>
          <w:rFonts w:ascii="Times New Roman" w:hAnsi="Times New Roman"/>
          <w:sz w:val="30"/>
          <w:szCs w:val="30"/>
        </w:rPr>
        <w:t>В заключение можно отметить, что система противодействия коррупции в Республике Беларусь играет одну из ключевых ролей в обеспечении правового порядка, безопасности и стабильности общества. Законодательство предусматривает меры ответственности и профилактики, однако борьба с коррупцией требует постоянного совершенствования правовых механизмов и повышения эффективности правоохранительных органов. Важную роль играет профилактическая деятельность и просветительская работа. Только системный подход и взаимодействие всех институтов позволят эффективно бороться с коррупцией и укреплять правовое государство.</w:t>
      </w:r>
      <w:bookmarkEnd w:id="0"/>
    </w:p>
    <w:p w14:paraId="150ADCC7" w14:textId="5CC48074" w:rsidR="00A664C0" w:rsidRDefault="00A664C0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</w:rPr>
      </w:pPr>
    </w:p>
    <w:p w14:paraId="5CF4641E" w14:textId="77777777" w:rsidR="00A664C0" w:rsidRPr="004375A0" w:rsidRDefault="00A664C0" w:rsidP="00A664C0">
      <w:pPr>
        <w:tabs>
          <w:tab w:val="left" w:pos="6804"/>
        </w:tabs>
        <w:spacing w:after="0" w:line="280" w:lineRule="exact"/>
        <w:ind w:right="6661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 xml:space="preserve">Помощник прокурора 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br/>
        <w:t>Минского района</w:t>
      </w:r>
    </w:p>
    <w:p w14:paraId="26B1C444" w14:textId="77777777" w:rsidR="00A664C0" w:rsidRPr="004375A0" w:rsidRDefault="00A664C0" w:rsidP="00A664C0">
      <w:pPr>
        <w:tabs>
          <w:tab w:val="left" w:pos="6804"/>
        </w:tabs>
        <w:spacing w:after="0" w:line="280" w:lineRule="exact"/>
        <w:ind w:right="5668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по особым поручениям</w:t>
      </w:r>
    </w:p>
    <w:p w14:paraId="0CC337BA" w14:textId="77777777" w:rsidR="00A664C0" w:rsidRDefault="00A664C0" w:rsidP="00A664C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юрист 1 класса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В.В.Мелешко</w:t>
      </w:r>
    </w:p>
    <w:p w14:paraId="383D97F0" w14:textId="77777777" w:rsidR="00A664C0" w:rsidRDefault="00A664C0" w:rsidP="00A664C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</w:p>
    <w:p w14:paraId="2DFAA2F6" w14:textId="77777777" w:rsidR="00A664C0" w:rsidRDefault="00A664C0" w:rsidP="00A664C0">
      <w:pPr>
        <w:tabs>
          <w:tab w:val="left" w:pos="6804"/>
        </w:tabs>
        <w:spacing w:after="12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СОГЛАСОВАНО</w:t>
      </w:r>
    </w:p>
    <w:p w14:paraId="034A89DE" w14:textId="77777777" w:rsidR="00A664C0" w:rsidRPr="004375A0" w:rsidRDefault="00A664C0" w:rsidP="00A664C0">
      <w:pPr>
        <w:tabs>
          <w:tab w:val="left" w:pos="6804"/>
        </w:tabs>
        <w:spacing w:after="120" w:line="280" w:lineRule="exact"/>
        <w:ind w:right="6377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 xml:space="preserve">Заместитель 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 xml:space="preserve">прокурора 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br/>
        <w:t>Минского района</w:t>
      </w:r>
    </w:p>
    <w:p w14:paraId="5D97BC99" w14:textId="77777777" w:rsidR="00A664C0" w:rsidRDefault="00A664C0" w:rsidP="00A664C0">
      <w:pPr>
        <w:tabs>
          <w:tab w:val="left" w:pos="6804"/>
        </w:tabs>
        <w:spacing w:before="120" w:after="0" w:line="280" w:lineRule="exact"/>
        <w:jc w:val="both"/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</w:pP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старший советник юстиции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ab/>
        <w:t>Е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.</w:t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А</w:t>
      </w:r>
      <w:r w:rsidRPr="004375A0"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.</w:t>
      </w:r>
      <w:r>
        <w:rPr>
          <w:rFonts w:ascii="Times New Roman" w:eastAsia="Calibri" w:hAnsi="Times New Roman"/>
          <w:color w:val="auto"/>
          <w:sz w:val="30"/>
          <w:szCs w:val="30"/>
          <w:lang w:val="be-BY" w:eastAsia="en-US"/>
        </w:rPr>
        <w:t>Дорожко</w:t>
      </w:r>
    </w:p>
    <w:p w14:paraId="7980CAE3" w14:textId="77777777" w:rsidR="00A664C0" w:rsidRPr="00A664C0" w:rsidRDefault="00A664C0" w:rsidP="00A664C0">
      <w:pPr>
        <w:spacing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val="be-BY"/>
        </w:rPr>
      </w:pPr>
    </w:p>
    <w:sectPr w:rsidR="00A664C0" w:rsidRPr="00A664C0" w:rsidSect="00EA0E58">
      <w:headerReference w:type="default" r:id="rId6"/>
      <w:pgSz w:w="11906" w:h="16838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CF94" w14:textId="77777777" w:rsidR="00F36183" w:rsidRDefault="00F36183" w:rsidP="009B5CEA">
      <w:pPr>
        <w:spacing w:after="0" w:line="240" w:lineRule="auto"/>
      </w:pPr>
      <w:r>
        <w:separator/>
      </w:r>
    </w:p>
  </w:endnote>
  <w:endnote w:type="continuationSeparator" w:id="0">
    <w:p w14:paraId="5A849033" w14:textId="77777777" w:rsidR="00F36183" w:rsidRDefault="00F36183" w:rsidP="009B5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A755E" w14:textId="77777777" w:rsidR="00F36183" w:rsidRDefault="00F36183" w:rsidP="009B5CEA">
      <w:pPr>
        <w:spacing w:after="0" w:line="240" w:lineRule="auto"/>
      </w:pPr>
      <w:r>
        <w:separator/>
      </w:r>
    </w:p>
  </w:footnote>
  <w:footnote w:type="continuationSeparator" w:id="0">
    <w:p w14:paraId="0467C5B6" w14:textId="77777777" w:rsidR="00F36183" w:rsidRDefault="00F36183" w:rsidP="009B5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09097"/>
      <w:docPartObj>
        <w:docPartGallery w:val="Page Numbers (Top of Page)"/>
        <w:docPartUnique/>
      </w:docPartObj>
    </w:sdtPr>
    <w:sdtEndPr/>
    <w:sdtContent>
      <w:p w14:paraId="4C666E05" w14:textId="21CDCD70" w:rsidR="009B5CEA" w:rsidRDefault="009B5CE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A604E2" w14:textId="77777777" w:rsidR="009B5CEA" w:rsidRDefault="009B5CE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06BB"/>
    <w:rsid w:val="0001654D"/>
    <w:rsid w:val="003E06BB"/>
    <w:rsid w:val="009B5CEA"/>
    <w:rsid w:val="00A664C0"/>
    <w:rsid w:val="00EA0E58"/>
    <w:rsid w:val="00F3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79B7"/>
  <w15:docId w15:val="{38B85B51-850D-4D2A-8879-6791802C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Неразрешенное упоминание1"/>
    <w:basedOn w:val="13"/>
    <w:link w:val="a3"/>
    <w:rPr>
      <w:color w:val="605E5C"/>
      <w:shd w:val="clear" w:color="auto" w:fill="E1DFDD"/>
    </w:rPr>
  </w:style>
  <w:style w:type="character" w:styleId="a3">
    <w:name w:val="Unresolved Mention"/>
    <w:basedOn w:val="14"/>
    <w:link w:val="12"/>
    <w:rPr>
      <w:color w:val="605E5C"/>
      <w:shd w:val="clear" w:color="auto" w:fill="E1DFDD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Гиперссылка1"/>
    <w:basedOn w:val="13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4"/>
    <w:link w:val="15"/>
    <w:rPr>
      <w:color w:val="0563C1" w:themeColor="hyperlink"/>
      <w:u w:val="single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23">
    <w:name w:val="Основной шрифт абзаца2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4">
    <w:name w:val="Гиперссылка2"/>
    <w:link w:val="a4"/>
    <w:rPr>
      <w:color w:val="0000FF"/>
      <w:u w:val="single"/>
    </w:rPr>
  </w:style>
  <w:style w:type="character" w:styleId="a4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Заголовок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9">
    <w:name w:val="header"/>
    <w:basedOn w:val="a"/>
    <w:link w:val="aa"/>
    <w:uiPriority w:val="99"/>
    <w:unhideWhenUsed/>
    <w:rsid w:val="009B5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B5CEA"/>
  </w:style>
  <w:style w:type="paragraph" w:styleId="ab">
    <w:name w:val="footer"/>
    <w:basedOn w:val="a"/>
    <w:link w:val="ac"/>
    <w:uiPriority w:val="99"/>
    <w:unhideWhenUsed/>
    <w:rsid w:val="009B5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B5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Мелешко Владислав Владимирович</cp:lastModifiedBy>
  <cp:revision>4</cp:revision>
  <cp:lastPrinted>2025-12-02T09:03:00Z</cp:lastPrinted>
  <dcterms:created xsi:type="dcterms:W3CDTF">2025-12-02T08:57:00Z</dcterms:created>
  <dcterms:modified xsi:type="dcterms:W3CDTF">2025-12-02T09:31:00Z</dcterms:modified>
</cp:coreProperties>
</file>